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Acta de Consejo de Facultad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29 de enero 2026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Estrategia de admisión 2027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El Consejo acuerda solicitar a la Dirección de Admisión un análisis del medio relevante de cada carrera, con el objetivo de utilizarlo como base para la definición de la estrategia de admisión 2027 por programa.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Invitación a Consejo de Facultad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El Consejo acuerda invitar a Javier Rivera a una próxima sesión del Consejo de Facultad.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Actividades de bienvenida por carrera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 acuerda incorporar a los centros de estudiantes en las actividades de bienvenida por carrera programadas para el miércoles 11 de marzo.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Horario de reuniones 2026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El Consejo acuerda fijar como horario para las reuniones durante el año 2026 las 13:30 horas.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Actualización de perfiles académicos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 acuerda solicitar la actualización de los perfiles académicos y de las publicaciones en los sitios institucionales.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